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58EC7" w14:textId="084E490B" w:rsidR="00511238" w:rsidRPr="00EA4697" w:rsidRDefault="00EA4697" w:rsidP="00EA4697">
      <w:pPr>
        <w:jc w:val="center"/>
        <w:rPr>
          <w:b/>
          <w:bCs/>
          <w:sz w:val="40"/>
          <w:szCs w:val="40"/>
        </w:rPr>
      </w:pPr>
      <w:r w:rsidRPr="00EA4697">
        <w:rPr>
          <w:b/>
          <w:bCs/>
          <w:sz w:val="40"/>
          <w:szCs w:val="40"/>
        </w:rPr>
        <w:t>TP IKS en autonomie</w:t>
      </w:r>
    </w:p>
    <w:p w14:paraId="3E54D3AF" w14:textId="09C07B84" w:rsidR="00EA4697" w:rsidRDefault="00EA4697" w:rsidP="00EA4697">
      <w:pPr>
        <w:jc w:val="both"/>
      </w:pPr>
      <w:r>
        <w:t xml:space="preserve">Travail sur la région forestière 416 – Grande Sologne. </w:t>
      </w:r>
    </w:p>
    <w:p w14:paraId="384F349F" w14:textId="6F5E9A0D" w:rsidR="00C47CEE" w:rsidRDefault="00C47CEE" w:rsidP="00EA4697">
      <w:pPr>
        <w:jc w:val="both"/>
      </w:pPr>
      <w:r>
        <w:t xml:space="preserve">Cette région située dans le centre de la France. Elle s’étend d’Orléans au Nord à Vierzon au Sud, et de Blois à l’Ouest jusqu’à Gien à l’Est. </w:t>
      </w:r>
      <w:r w:rsidR="001E4EE7">
        <w:t xml:space="preserve"> </w:t>
      </w:r>
      <w:r>
        <w:t xml:space="preserve">N.B. : </w:t>
      </w:r>
      <w:r>
        <w:t xml:space="preserve">Elle peut être repérée grâce au sélecteur de région forestière dans la fonctionnalité d’Analogie Climatique. </w:t>
      </w:r>
    </w:p>
    <w:p w14:paraId="705C1C8F" w14:textId="77777777" w:rsidR="00C47CEE" w:rsidRDefault="00C47CEE" w:rsidP="00EA4697">
      <w:pPr>
        <w:jc w:val="both"/>
      </w:pPr>
    </w:p>
    <w:p w14:paraId="441886BF" w14:textId="3446B58C" w:rsidR="00EA4697" w:rsidRPr="00EA4697" w:rsidRDefault="00EA4697" w:rsidP="00EA4697">
      <w:pPr>
        <w:jc w:val="both"/>
        <w:rPr>
          <w:b/>
          <w:bCs/>
        </w:rPr>
      </w:pPr>
      <w:r w:rsidRPr="00EA4697">
        <w:rPr>
          <w:b/>
          <w:bCs/>
        </w:rPr>
        <w:t>Objectif</w:t>
      </w:r>
    </w:p>
    <w:p w14:paraId="51876C40" w14:textId="7B0FFE50" w:rsidR="00EA4697" w:rsidRDefault="00EA4697" w:rsidP="00EA4697">
      <w:pPr>
        <w:jc w:val="both"/>
      </w:pPr>
      <w:r>
        <w:t xml:space="preserve">A l’aide des différents outils de modélisation climatique fournis par le site ClimEssences.fr, évaluer quel est le niveau de risque sur les essences actuellement en place, et commencer à identifier des essences présentes dans des zones dont le climat actuel est similaire à ce qui est attendu pour le futur dans cette région. </w:t>
      </w:r>
    </w:p>
    <w:p w14:paraId="2F9C3687" w14:textId="27920559" w:rsidR="00EA4697" w:rsidRDefault="00EA4697" w:rsidP="00EA4697">
      <w:pPr>
        <w:jc w:val="both"/>
      </w:pPr>
      <w:r>
        <w:t>Les principales essences de production de la région en question sont le Chêne sessile, le Chêne pédonculé, le Pin sylvestre. En accompagnement on peut citer le Charme, l’Erable sycomore </w:t>
      </w:r>
      <w:r w:rsidR="001E4EE7">
        <w:t>et l’</w:t>
      </w:r>
      <w:r>
        <w:t xml:space="preserve">Erable champêtre. </w:t>
      </w:r>
    </w:p>
    <w:p w14:paraId="5936CC9E" w14:textId="77777777" w:rsidR="00EA4697" w:rsidRDefault="00EA4697" w:rsidP="00EA4697">
      <w:pPr>
        <w:jc w:val="both"/>
      </w:pPr>
    </w:p>
    <w:p w14:paraId="43D41AE8" w14:textId="336577AF" w:rsidR="00EA4697" w:rsidRPr="00EA4697" w:rsidRDefault="00EA4697" w:rsidP="00EA4697">
      <w:pPr>
        <w:jc w:val="both"/>
        <w:rPr>
          <w:b/>
          <w:bCs/>
        </w:rPr>
      </w:pPr>
      <w:r w:rsidRPr="00EA4697">
        <w:rPr>
          <w:b/>
          <w:bCs/>
        </w:rPr>
        <w:t>Fonctionnalités concernées</w:t>
      </w:r>
    </w:p>
    <w:p w14:paraId="02872B66" w14:textId="77777777" w:rsidR="00EA4697" w:rsidRDefault="00EA4697" w:rsidP="00EA4697">
      <w:pPr>
        <w:pStyle w:val="Paragraphedeliste"/>
        <w:numPr>
          <w:ilvl w:val="0"/>
          <w:numId w:val="1"/>
        </w:numPr>
        <w:jc w:val="both"/>
      </w:pPr>
      <w:r>
        <w:t>Variables climatiques</w:t>
      </w:r>
    </w:p>
    <w:p w14:paraId="083D1AF2" w14:textId="77777777" w:rsidR="00EA4697" w:rsidRDefault="00EA4697" w:rsidP="00EA4697">
      <w:pPr>
        <w:pStyle w:val="Paragraphedeliste"/>
        <w:numPr>
          <w:ilvl w:val="0"/>
          <w:numId w:val="1"/>
        </w:numPr>
        <w:jc w:val="both"/>
      </w:pPr>
      <w:r>
        <w:t>Analogie climatique</w:t>
      </w:r>
    </w:p>
    <w:p w14:paraId="2B3F5B9B" w14:textId="77777777" w:rsidR="00EA4697" w:rsidRDefault="00EA4697" w:rsidP="00EA4697">
      <w:pPr>
        <w:pStyle w:val="Paragraphedeliste"/>
        <w:numPr>
          <w:ilvl w:val="0"/>
          <w:numId w:val="1"/>
        </w:numPr>
        <w:jc w:val="both"/>
      </w:pPr>
      <w:r>
        <w:t>Compatibilités climatiques</w:t>
      </w:r>
    </w:p>
    <w:p w14:paraId="56AD53BB" w14:textId="26CF7246" w:rsidR="00EA4697" w:rsidRDefault="00EA4697" w:rsidP="00EA4697">
      <w:pPr>
        <w:pStyle w:val="Paragraphedeliste"/>
        <w:numPr>
          <w:ilvl w:val="0"/>
          <w:numId w:val="1"/>
        </w:numPr>
        <w:jc w:val="both"/>
      </w:pPr>
      <w:r>
        <w:t>Comparaison de scénarios climatiques</w:t>
      </w:r>
    </w:p>
    <w:p w14:paraId="7F5FC1F1" w14:textId="23A1B3E4" w:rsidR="00EA4697" w:rsidRDefault="00EA4697" w:rsidP="00EA4697">
      <w:pPr>
        <w:jc w:val="both"/>
      </w:pPr>
      <w:r>
        <w:t xml:space="preserve">Les fiches espèces </w:t>
      </w:r>
      <w:r w:rsidR="006970C4">
        <w:t xml:space="preserve">Caravane </w:t>
      </w:r>
      <w:r>
        <w:t xml:space="preserve">feront l’objet d’un autre TP. </w:t>
      </w:r>
    </w:p>
    <w:p w14:paraId="44D70610" w14:textId="2654B48C" w:rsidR="00EA4697" w:rsidRDefault="00EA4697" w:rsidP="00EA4697">
      <w:pPr>
        <w:jc w:val="both"/>
      </w:pPr>
    </w:p>
    <w:p w14:paraId="1A9F2EF6" w14:textId="0B1A9FFA" w:rsidR="00EA4697" w:rsidRPr="00EA4697" w:rsidRDefault="00EA4697" w:rsidP="00EA4697">
      <w:pPr>
        <w:jc w:val="both"/>
        <w:rPr>
          <w:b/>
          <w:bCs/>
        </w:rPr>
      </w:pPr>
      <w:r w:rsidRPr="00EA4697">
        <w:rPr>
          <w:b/>
          <w:bCs/>
        </w:rPr>
        <w:t>Consignes</w:t>
      </w:r>
    </w:p>
    <w:p w14:paraId="1777F16B" w14:textId="513E46EF" w:rsidR="00EA4697" w:rsidRDefault="00EA4697" w:rsidP="00EA4697">
      <w:pPr>
        <w:pStyle w:val="Paragraphedeliste"/>
        <w:numPr>
          <w:ilvl w:val="0"/>
          <w:numId w:val="2"/>
        </w:numPr>
        <w:jc w:val="both"/>
      </w:pPr>
      <w:r>
        <w:t>Consulte</w:t>
      </w:r>
      <w:r w:rsidR="004B2ED8">
        <w:t>z</w:t>
      </w:r>
      <w:r>
        <w:t xml:space="preserve"> les variables climatiques. Quelles sont les évolutions attendues pour les variables annuelles</w:t>
      </w:r>
      <w:r w:rsidR="00C47CEE">
        <w:t xml:space="preserve"> dans cette région ?</w:t>
      </w:r>
    </w:p>
    <w:p w14:paraId="7D460858" w14:textId="7987DCD5" w:rsidR="00C47CEE" w:rsidRDefault="00C47CEE" w:rsidP="00EA4697">
      <w:pPr>
        <w:pStyle w:val="Paragraphedeliste"/>
        <w:numPr>
          <w:ilvl w:val="0"/>
          <w:numId w:val="2"/>
        </w:numPr>
        <w:jc w:val="both"/>
      </w:pPr>
      <w:r>
        <w:t>Observe</w:t>
      </w:r>
      <w:r w:rsidR="004B2ED8">
        <w:t xml:space="preserve">z </w:t>
      </w:r>
      <w:r>
        <w:t>les diagrammes ombrothermiques pour le domaine de Chambord. Que constatez-vous</w:t>
      </w:r>
      <w:r w:rsidR="002F365E">
        <w:t xml:space="preserve"> </w:t>
      </w:r>
      <w:r>
        <w:t>(en particulier pour le 8.5 moyen) ?</w:t>
      </w:r>
    </w:p>
    <w:p w14:paraId="24788AA2" w14:textId="2616477B" w:rsidR="00C47CEE" w:rsidRDefault="00C47CEE" w:rsidP="00EA4697">
      <w:pPr>
        <w:pStyle w:val="Paragraphedeliste"/>
        <w:numPr>
          <w:ilvl w:val="0"/>
          <w:numId w:val="2"/>
        </w:numPr>
        <w:jc w:val="both"/>
      </w:pPr>
      <w:r>
        <w:t xml:space="preserve">Quelles zones ont actuellement des climats proches de ce qu’on attend dans le futur pour la Grande Sologne ? En 4.5 </w:t>
      </w:r>
      <w:proofErr w:type="gramStart"/>
      <w:r>
        <w:t>moyen</w:t>
      </w:r>
      <w:proofErr w:type="gramEnd"/>
      <w:r>
        <w:t xml:space="preserve"> ? En 8.5 </w:t>
      </w:r>
      <w:proofErr w:type="gramStart"/>
      <w:r>
        <w:t>moyen</w:t>
      </w:r>
      <w:proofErr w:type="gramEnd"/>
      <w:r>
        <w:t> ?</w:t>
      </w:r>
    </w:p>
    <w:p w14:paraId="3FC0F5B4" w14:textId="25A36FA9" w:rsidR="00C47CEE" w:rsidRDefault="00C47CEE" w:rsidP="00EA4697">
      <w:pPr>
        <w:pStyle w:val="Paragraphedeliste"/>
        <w:numPr>
          <w:ilvl w:val="0"/>
          <w:numId w:val="2"/>
        </w:numPr>
        <w:jc w:val="both"/>
      </w:pPr>
      <w:r>
        <w:t>Quelles essences sont majoritaires dans les</w:t>
      </w:r>
      <w:r w:rsidR="004B2ED8">
        <w:t xml:space="preserve"> </w:t>
      </w:r>
      <w:r>
        <w:t>zone</w:t>
      </w:r>
      <w:r w:rsidR="004B2ED8">
        <w:t>s</w:t>
      </w:r>
      <w:r>
        <w:t xml:space="preserve"> analogues à la Grande Sologne ? Actuellement ?</w:t>
      </w:r>
      <w:r w:rsidRPr="00C47CEE">
        <w:t xml:space="preserve"> </w:t>
      </w:r>
      <w:r>
        <w:t xml:space="preserve">En 4.5 </w:t>
      </w:r>
      <w:proofErr w:type="gramStart"/>
      <w:r>
        <w:t>moyen</w:t>
      </w:r>
      <w:proofErr w:type="gramEnd"/>
      <w:r>
        <w:t xml:space="preserve"> ? En 8.5 </w:t>
      </w:r>
      <w:proofErr w:type="gramStart"/>
      <w:r>
        <w:t>moyen</w:t>
      </w:r>
      <w:proofErr w:type="gramEnd"/>
      <w:r>
        <w:t> ?</w:t>
      </w:r>
      <w:r w:rsidR="004B2ED8">
        <w:t xml:space="preserve"> Qu’en déduisez-vous ?</w:t>
      </w:r>
      <w:r w:rsidR="002F365E">
        <w:t xml:space="preserve"> Consultez les cartes de présences </w:t>
      </w:r>
      <w:r w:rsidR="00C50CD0">
        <w:t>des principales</w:t>
      </w:r>
      <w:r w:rsidR="00BA35AC">
        <w:t xml:space="preserve"> essences. S</w:t>
      </w:r>
      <w:r w:rsidR="00C50CD0">
        <w:t>ont-elles déjà présentes en Grande Sologne ?</w:t>
      </w:r>
    </w:p>
    <w:p w14:paraId="7EBD7A01" w14:textId="15E97AB5" w:rsidR="004B2ED8" w:rsidRDefault="004B2ED8" w:rsidP="004B2ED8">
      <w:pPr>
        <w:pStyle w:val="Paragraphedeliste"/>
        <w:numPr>
          <w:ilvl w:val="0"/>
          <w:numId w:val="2"/>
        </w:numPr>
        <w:jc w:val="both"/>
      </w:pPr>
      <w:r>
        <w:t xml:space="preserve">Comment évolue l’aire de présence des principales essences de production et d’accompagnement dans cette région ? </w:t>
      </w:r>
      <w:r>
        <w:t xml:space="preserve">En 4.5 </w:t>
      </w:r>
      <w:proofErr w:type="gramStart"/>
      <w:r>
        <w:t>moyen</w:t>
      </w:r>
      <w:proofErr w:type="gramEnd"/>
      <w:r>
        <w:t xml:space="preserve"> ? En 8.5 </w:t>
      </w:r>
      <w:proofErr w:type="gramStart"/>
      <w:r>
        <w:t>moyen</w:t>
      </w:r>
      <w:proofErr w:type="gramEnd"/>
      <w:r>
        <w:t> ?</w:t>
      </w:r>
      <w:r>
        <w:t xml:space="preserve"> Qu’est-ce que cela signifie ? </w:t>
      </w:r>
      <w:r>
        <w:t>Quel facteur est en cause ?</w:t>
      </w:r>
    </w:p>
    <w:p w14:paraId="7E06333D" w14:textId="027CD3C8" w:rsidR="004B2ED8" w:rsidRDefault="004B2ED8" w:rsidP="004B2ED8">
      <w:pPr>
        <w:pStyle w:val="Paragraphedeliste"/>
        <w:numPr>
          <w:ilvl w:val="0"/>
          <w:numId w:val="2"/>
        </w:numPr>
        <w:jc w:val="both"/>
      </w:pPr>
      <w:r>
        <w:t xml:space="preserve">Observez les cartes de points de présence pour le Chêne sessile et le </w:t>
      </w:r>
      <w:r w:rsidR="00BA35AC">
        <w:t>P</w:t>
      </w:r>
      <w:r>
        <w:t xml:space="preserve">in </w:t>
      </w:r>
      <w:r w:rsidR="00BA35AC">
        <w:t>s</w:t>
      </w:r>
      <w:r>
        <w:t>ylvestre. Quelles régions semblent capter la limite sèche pour ces essences ? Qu’en déduisez-vous ?</w:t>
      </w:r>
    </w:p>
    <w:p w14:paraId="7A70A425" w14:textId="12CCFE30" w:rsidR="00EA4697" w:rsidRDefault="004B2ED8" w:rsidP="005E4D97">
      <w:pPr>
        <w:pStyle w:val="Paragraphedeliste"/>
        <w:numPr>
          <w:ilvl w:val="0"/>
          <w:numId w:val="2"/>
        </w:numPr>
        <w:jc w:val="both"/>
      </w:pPr>
      <w:r>
        <w:t>A l’aide des outils de comparaison de scénarios, préciser votre diagnostic. En particulier, évaluer l’impact de stations sèches ou bien aliment</w:t>
      </w:r>
      <w:r w:rsidR="00BA35AC">
        <w:t>ées</w:t>
      </w:r>
      <w:r>
        <w:t xml:space="preserve"> en eau sur le diagnostic. A titre de comparaison, consultez la carte de RUM et regardez quelle est la RUM moyenne dans cette région. </w:t>
      </w:r>
    </w:p>
    <w:p w14:paraId="0F8186B3" w14:textId="77777777" w:rsidR="00845794" w:rsidRDefault="00845794" w:rsidP="00845794">
      <w:pPr>
        <w:ind w:left="360"/>
        <w:jc w:val="both"/>
      </w:pPr>
    </w:p>
    <w:p w14:paraId="1B4A7DFD" w14:textId="178FB818" w:rsidR="00845794" w:rsidRDefault="00845794" w:rsidP="00845794">
      <w:pPr>
        <w:jc w:val="both"/>
      </w:pPr>
      <w:r>
        <w:t xml:space="preserve">Si vous le souhaitez, testez d’autres régions, par exemple en montagne. </w:t>
      </w:r>
    </w:p>
    <w:p w14:paraId="7F963D11" w14:textId="41B1B8E6" w:rsidR="00C50CD0" w:rsidRPr="00C50CD0" w:rsidRDefault="00C50CD0" w:rsidP="00845794">
      <w:pPr>
        <w:jc w:val="both"/>
        <w:rPr>
          <w:b/>
          <w:bCs/>
        </w:rPr>
      </w:pPr>
    </w:p>
    <w:p w14:paraId="5A0F35FB" w14:textId="0760E5E0" w:rsidR="00C50CD0" w:rsidRPr="00C50CD0" w:rsidRDefault="00C50CD0" w:rsidP="00845794">
      <w:pPr>
        <w:jc w:val="both"/>
        <w:rPr>
          <w:b/>
          <w:bCs/>
        </w:rPr>
      </w:pPr>
      <w:r w:rsidRPr="00C50CD0">
        <w:rPr>
          <w:b/>
          <w:bCs/>
        </w:rPr>
        <w:t>N’hésitez pas à visualiser les tutoriels des différents modules</w:t>
      </w:r>
      <w:r>
        <w:rPr>
          <w:b/>
          <w:bCs/>
        </w:rPr>
        <w:t>, et à parcourir la documentation</w:t>
      </w:r>
      <w:r w:rsidRPr="00C50CD0">
        <w:rPr>
          <w:b/>
          <w:bCs/>
        </w:rPr>
        <w:t> !</w:t>
      </w:r>
    </w:p>
    <w:sectPr w:rsidR="00C50CD0" w:rsidRPr="00C50CD0" w:rsidSect="00845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4157"/>
    <w:multiLevelType w:val="hybridMultilevel"/>
    <w:tmpl w:val="E7843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40603"/>
    <w:multiLevelType w:val="hybridMultilevel"/>
    <w:tmpl w:val="AFE0CB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697"/>
    <w:rsid w:val="001E4EE7"/>
    <w:rsid w:val="002F365E"/>
    <w:rsid w:val="004B2ED8"/>
    <w:rsid w:val="00511238"/>
    <w:rsid w:val="006970C4"/>
    <w:rsid w:val="00845794"/>
    <w:rsid w:val="00BA35AC"/>
    <w:rsid w:val="00C47CEE"/>
    <w:rsid w:val="00C50CD0"/>
    <w:rsid w:val="00E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414F"/>
  <w15:chartTrackingRefBased/>
  <w15:docId w15:val="{B93675C3-00E3-4C85-8290-FA447D968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103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1742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12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59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6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5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PIBOULE Alexandre</dc:creator>
  <cp:keywords/>
  <dc:description/>
  <cp:lastModifiedBy>PIBOULE Alexandre</cp:lastModifiedBy>
  <cp:revision>6</cp:revision>
  <dcterms:created xsi:type="dcterms:W3CDTF">2020-12-14T07:16:00Z</dcterms:created>
  <dcterms:modified xsi:type="dcterms:W3CDTF">2020-12-14T07:48:00Z</dcterms:modified>
</cp:coreProperties>
</file>